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24449"/>
    <w:tbl>
      <w:tblPr>
        <w:tblStyle w:val="4"/>
        <w:tblW w:w="9334" w:type="dxa"/>
        <w:tblInd w:w="-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56"/>
        <w:gridCol w:w="732"/>
        <w:gridCol w:w="480"/>
        <w:gridCol w:w="1548"/>
        <w:gridCol w:w="5002"/>
      </w:tblGrid>
      <w:tr w14:paraId="3CD75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34" w:type="dxa"/>
            <w:gridSpan w:val="6"/>
          </w:tcPr>
          <w:p w14:paraId="2E95EA49">
            <w:pPr>
              <w:widowControl w:val="0"/>
              <w:jc w:val="center"/>
            </w:pPr>
            <w:r>
              <w:rPr>
                <w:lang w:eastAsia="ru-RU" w:bidi="ar-SA"/>
              </w:rPr>
              <w:drawing>
                <wp:inline distT="0" distB="0" distL="0" distR="0">
                  <wp:extent cx="506095" cy="58801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816" t="-1708" r="-1816" b="-1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95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ED8939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</w:tc>
      </w:tr>
      <w:tr w14:paraId="1E519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9334" w:type="dxa"/>
            <w:gridSpan w:val="6"/>
          </w:tcPr>
          <w:p w14:paraId="1CD4B91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АРТИНСКОГО ГОРОДСКОГО ОКРУГА</w:t>
            </w:r>
          </w:p>
          <w:p w14:paraId="6DC8E45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14:paraId="62D10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Mar>
              <w:left w:w="0" w:type="dxa"/>
              <w:right w:w="0" w:type="dxa"/>
            </w:tcMar>
          </w:tcPr>
          <w:p w14:paraId="0516A0F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88" w:type="dxa"/>
            <w:gridSpan w:val="2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</w:tcPr>
          <w:p w14:paraId="0A92C6F1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23.08.2024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 w14:paraId="475C96D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</w:tcPr>
          <w:p w14:paraId="6C4373B9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492</w:t>
            </w:r>
          </w:p>
        </w:tc>
        <w:tc>
          <w:tcPr>
            <w:tcW w:w="5002" w:type="dxa"/>
            <w:tcMar>
              <w:left w:w="0" w:type="dxa"/>
              <w:right w:w="0" w:type="dxa"/>
            </w:tcMar>
          </w:tcPr>
          <w:p w14:paraId="4BBBF878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6ADD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2" w:type="dxa"/>
            <w:gridSpan w:val="2"/>
            <w:tcMar>
              <w:left w:w="0" w:type="dxa"/>
              <w:right w:w="0" w:type="dxa"/>
            </w:tcMar>
          </w:tcPr>
          <w:p w14:paraId="0CED45E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Арти</w:t>
            </w:r>
          </w:p>
        </w:tc>
        <w:tc>
          <w:tcPr>
            <w:tcW w:w="7762" w:type="dxa"/>
            <w:gridSpan w:val="4"/>
            <w:tcMar>
              <w:left w:w="0" w:type="dxa"/>
              <w:right w:w="0" w:type="dxa"/>
            </w:tcMar>
          </w:tcPr>
          <w:p w14:paraId="16560F72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6DF032">
      <w:pPr>
        <w:rPr>
          <w:rFonts w:ascii="Arial" w:hAnsi="Arial" w:cs="Arial"/>
        </w:rPr>
      </w:pPr>
    </w:p>
    <w:p w14:paraId="7BC716E2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 внесении изменений в постановление Администрации Артинского городского округа от 28.02.2023 № 102 «Об утверждении муниципальной программы «Управление муниципальной собственностью  на территории Артинского городского округа до 2027 года»  (в редакции от 22.03.2023 </w:t>
      </w:r>
    </w:p>
    <w:p w14:paraId="4145A642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№ 157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, от 15.03.2023 № 266, от 26.07.2023 № 408, от 10.08.2023 № 440, от 05.10.2023 № 256, от 10.11.2023 № 642, от 13.12.2023 № 737, от 26.01.2024 № 61, от 14.02.2024 № 100, от 16.04.2024 № 227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)</w:t>
      </w:r>
    </w:p>
    <w:p w14:paraId="4C9A7127">
      <w:pPr>
        <w:jc w:val="center"/>
        <w:rPr>
          <w:rFonts w:ascii="Times New Roman" w:hAnsi="Times New Roman"/>
          <w:b/>
          <w:bCs/>
          <w:i/>
          <w:iCs/>
        </w:rPr>
      </w:pPr>
    </w:p>
    <w:p w14:paraId="5C59241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На основании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"consultantplus://offline/ref=9F22E77CF9173A4789A6096D53B29B2A09EFFFF5100273507D6ED239033726D0AEB3D17E6156i40FM" \h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ст. 179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Бюджетного кодекса Российской Федерации,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"consultantplus://offline/ref=9F22E77CF9173A4789A6176045DEC52009E1A1FC1707710320318964543E2C87E9FC883F21524E409C6187i603M" \h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Постановления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Администрации Артинского городского округа от 24.10.2016г. № 976 «Об утверждении Порядка формирования и реализации муниципальных программ Артинского городского округа (в новой редакции)», Решения Думы Артинского городского округа от 29.11.2018г. № 63 «О Стратегии социально-экономического развития Артинского городского округа на период до 2035 года»,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Решения Думы АГО от 25.07.2024 г. № 39 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О внесении изменений в Решение Думы Артинского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городского округа  от  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.12.202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г.  №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87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«О бюджете  Артинского городского округа на 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год и плановый период 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годов»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, П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остановления Администрации Артинского городского округа от 27.10.2022  № 621 «Об утверждении Перечня муниципальных программ Артинского городского округа», в соответствии со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"consultantplus://offline/ref=9F22E77CF9173A4789A6176045DEC52009E1A1FC10047E05203AD46E5C672085EEF3D728261B42419C618467i50EM" \h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статьями 31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"consultantplus://offline/ref=9F22E77CF9173A4789A6176045DEC52009E1A1FC10047E05203AD46E5C672085EEF3D728261B42419C618664i50AM" \h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49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ascii="Times New Roman" w:hAnsi="Times New Roman"/>
          <w:sz w:val="28"/>
        </w:rPr>
        <w:t xml:space="preserve"> Устава Артинского городского округа</w:t>
      </w:r>
    </w:p>
    <w:p w14:paraId="496416E4">
      <w:pPr>
        <w:jc w:val="both"/>
      </w:pPr>
    </w:p>
    <w:p w14:paraId="068AF26A">
      <w:pPr>
        <w:pStyle w:val="2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ПОСТАНОВЛЯЮ:</w:t>
      </w:r>
    </w:p>
    <w:p w14:paraId="3D80FD11">
      <w:pPr>
        <w:ind w:left="624" w:hanging="567"/>
        <w:rPr>
          <w:b/>
          <w:bCs/>
        </w:rPr>
      </w:pPr>
    </w:p>
    <w:p w14:paraId="58C9A051">
      <w:pPr>
        <w:numPr>
          <w:ilvl w:val="0"/>
          <w:numId w:val="2"/>
        </w:numPr>
        <w:ind w:left="17" w:leftChars="7" w:firstLine="537" w:firstLineChars="192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В постановление Администрации Артинского городского округа от 28.02.2023 № 102 «Об утверждении муниципальной программы «Управление муниципальной собственностью  на территории Артинского городского округа до 2027 года» 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(в редакции от 22.03.2023 № 157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, от 15.03.2023 № 266, от 26.07.2023 № 408, от 10.08.2023 № 440, от 05.10.2023 № 256, от 10.11.2023 № 642, от 13.12.2023 № 737, от 26.01.2024 № 61, от 14.02.2024 № 100, от 16.04.2024 № 227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следующие изменения:</w:t>
      </w:r>
    </w:p>
    <w:p w14:paraId="1491AD3D">
      <w:pPr>
        <w:widowControl/>
        <w:numPr>
          <w:ilvl w:val="1"/>
          <w:numId w:val="3"/>
        </w:numPr>
        <w:bidi w:val="0"/>
        <w:ind w:left="10" w:leftChars="0" w:right="0" w:rightChars="0" w:firstLine="478" w:firstLineChars="1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 муниципальной программы «</w:t>
      </w:r>
      <w:r>
        <w:rPr>
          <w:rFonts w:ascii="Times New Roman" w:hAnsi="Times New Roman"/>
          <w:bCs/>
          <w:iCs/>
          <w:sz w:val="28"/>
          <w:szCs w:val="28"/>
        </w:rPr>
        <w:t>Управление муниципальной собственностью  на территории Артинского городского округа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до 2027 </w:t>
      </w:r>
      <w:r>
        <w:rPr>
          <w:rFonts w:ascii="Times New Roman" w:hAnsi="Times New Roman"/>
          <w:bCs/>
          <w:iCs/>
          <w:sz w:val="28"/>
          <w:szCs w:val="28"/>
        </w:rPr>
        <w:t>года»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14:paraId="01AAE631">
      <w:pPr>
        <w:widowControl/>
        <w:bidi w:val="0"/>
        <w:ind w:left="0" w:right="0" w:firstLine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строку 6 «Объемы финансирования муниципальной программы по годам реализации, тыс. руб.» изложить в новой редакции:  </w:t>
      </w:r>
    </w:p>
    <w:p w14:paraId="59591294">
      <w:pPr>
        <w:widowControl/>
        <w:bidi w:val="0"/>
        <w:ind w:left="0" w:right="0" w:firstLine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</w:p>
    <w:tbl>
      <w:tblPr>
        <w:tblStyle w:val="4"/>
        <w:tblW w:w="9804" w:type="dxa"/>
        <w:tblInd w:w="-5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068"/>
        <w:gridCol w:w="5736"/>
      </w:tblGrid>
      <w:tr w14:paraId="52DBB31C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DAF9AA">
            <w:pPr>
              <w:pStyle w:val="13"/>
              <w:widowControl w:val="0"/>
              <w:rPr>
                <w:rFonts w:ascii="Times New Roman" w:hAnsi="Times New Roman" w:cs="Times New Roman"/>
              </w:rPr>
            </w:pPr>
            <w:bookmarkStart w:id="0" w:name="_Hlk54681766_Copy_1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6. Объемы финансирования муниципальной программы по годам реализации, тыс.руб.</w:t>
            </w:r>
          </w:p>
          <w:p w14:paraId="028537EE">
            <w:pPr>
              <w:widowControl w:val="0"/>
              <w:rPr>
                <w:sz w:val="20"/>
                <w:szCs w:val="20"/>
              </w:rPr>
            </w:pPr>
          </w:p>
          <w:p w14:paraId="25A1E3EA">
            <w:pPr>
              <w:pStyle w:val="13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7FADB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  <w:t xml:space="preserve">СЕГО: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fill="auto"/>
                <w:lang w:val="ru-RU"/>
              </w:rPr>
              <w:t>140 825,06</w:t>
            </w:r>
          </w:p>
          <w:p w14:paraId="47A37838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  <w:t>в том числе: (п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shd w:val="clear" w:fill="auto"/>
              </w:rPr>
              <w:t>о годам реализации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  <w:t>)</w:t>
            </w:r>
          </w:p>
          <w:p w14:paraId="64C96D8A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  <w:t>из них:</w:t>
            </w:r>
          </w:p>
          <w:p w14:paraId="7B5F67A4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федеральный бюджет: </w:t>
            </w:r>
          </w:p>
          <w:p w14:paraId="58F8465C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2022 - 0</w:t>
            </w:r>
          </w:p>
          <w:p w14:paraId="60F28510">
            <w:pPr>
              <w:widowControl w:val="0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2023г.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237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bidi="ar"/>
              </w:rPr>
              <w:t>76</w:t>
            </w:r>
          </w:p>
          <w:p w14:paraId="31E558ED">
            <w:pPr>
              <w:widowControl w:val="0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  <w:t xml:space="preserve">2024г. - 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bidi="ar"/>
              </w:rPr>
              <w:t>240,79</w:t>
            </w:r>
          </w:p>
          <w:p w14:paraId="6BC3EBF9">
            <w:pPr>
              <w:widowControl w:val="0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  <w:t>2025г. - 0</w:t>
            </w:r>
          </w:p>
          <w:p w14:paraId="3D2ABACE">
            <w:pPr>
              <w:widowControl w:val="0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  <w:t>2026г. - 0</w:t>
            </w:r>
          </w:p>
          <w:p w14:paraId="3E69252F">
            <w:pPr>
              <w:widowControl w:val="0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  <w:t>2027г. - 0</w:t>
            </w:r>
          </w:p>
          <w:p w14:paraId="49A06E17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  <w:t>местный бюджет: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fil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fill="auto"/>
                <w:lang w:val="ru-RU"/>
              </w:rPr>
              <w:t>140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shd w:val="clear" w:fil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shd w:val="clear" w:fill="auto"/>
                <w:lang w:val="ru-RU"/>
              </w:rPr>
              <w:t>346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shd w:val="clear" w:fill="auto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shd w:val="clear" w:fill="auto"/>
                <w:lang w:val="ru-RU"/>
              </w:rPr>
              <w:t>50</w:t>
            </w:r>
          </w:p>
          <w:p w14:paraId="0D800706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  <w:t>в том числе: (по годам реализации)</w:t>
            </w:r>
          </w:p>
          <w:p w14:paraId="265365F8">
            <w:pPr>
              <w:pStyle w:val="13"/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>2022 – 9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fill="auto"/>
              </w:rPr>
              <w:t> 478,25</w:t>
            </w:r>
          </w:p>
          <w:p w14:paraId="76FB5B2E">
            <w:pPr>
              <w:pStyle w:val="13"/>
              <w:widowControl w:val="0"/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 xml:space="preserve">2023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71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173,25</w:t>
            </w:r>
          </w:p>
          <w:p w14:paraId="6B0DEF1B">
            <w:pPr>
              <w:pStyle w:val="13"/>
              <w:widowControl w:val="0"/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 xml:space="preserve">2024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29 695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>,00</w:t>
            </w:r>
          </w:p>
          <w:p w14:paraId="33F7A39F">
            <w:pPr>
              <w:pStyle w:val="13"/>
              <w:widowControl w:val="0"/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 xml:space="preserve">2025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15 000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 xml:space="preserve">,00 </w:t>
            </w:r>
          </w:p>
          <w:p w14:paraId="656A9E70">
            <w:pPr>
              <w:pStyle w:val="13"/>
              <w:widowControl w:val="0"/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 xml:space="preserve">2026 -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15 000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 xml:space="preserve">,00 </w:t>
            </w:r>
          </w:p>
          <w:p w14:paraId="31435535">
            <w:pPr>
              <w:pStyle w:val="13"/>
              <w:widowControl w:val="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2027 - 0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,00</w:t>
            </w:r>
          </w:p>
          <w:p w14:paraId="711C4586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внебюджетные источники: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43369B32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</w:tbl>
    <w:p w14:paraId="1B2120F5">
      <w:pPr>
        <w:numPr>
          <w:ilvl w:val="0"/>
          <w:numId w:val="0"/>
        </w:numPr>
        <w:ind w:left="280"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14:paraId="756795B4">
      <w:pPr>
        <w:widowControl/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1.1. Приложение № 2 «План мероприятий по реализации программы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«Об утверждении муниципальной программы «Управление муниципальной собственностью  на территории Артинского городского округа до 2027 года»</w:t>
      </w:r>
      <w:r>
        <w:rPr>
          <w:rFonts w:hint="default" w:ascii="Times New Roman" w:hAnsi="Times New Roman" w:cs="Times New Roman"/>
          <w:sz w:val="28"/>
          <w:szCs w:val="28"/>
        </w:rPr>
        <w:t xml:space="preserve"> читать в новой редакции (Прил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ожение № 2</w:t>
      </w:r>
      <w:r>
        <w:rPr>
          <w:rFonts w:hint="default" w:ascii="Times New Roman" w:hAnsi="Times New Roman" w:cs="Times New Roman"/>
          <w:sz w:val="28"/>
          <w:szCs w:val="28"/>
        </w:rPr>
        <w:t>).</w:t>
      </w:r>
    </w:p>
    <w:p w14:paraId="53B05029">
      <w:pPr>
        <w:widowControl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t xml:space="preserve">      </w:t>
      </w:r>
      <w:r>
        <w:rPr>
          <w:rFonts w:hint="default" w:ascii="Times New Roman" w:hAnsi="Times New Roman" w:cs="Times New Roman"/>
          <w:sz w:val="28"/>
          <w:szCs w:val="28"/>
        </w:rPr>
        <w:t>2. Опубликовать настоящее постановление в «Муниципальном вестнике» газеты «Артинские вести» и на сайте Администрации Артинского городского округа.</w:t>
      </w:r>
    </w:p>
    <w:p w14:paraId="4DA4CAAA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3. Контроль за исполнением настоящего постановления возложить на заместителя Главы Администрации Артинского городского округа Т.М. Сыворотко.</w:t>
      </w:r>
    </w:p>
    <w:p w14:paraId="45D85F33">
      <w:pPr>
        <w:numPr>
          <w:ilvl w:val="0"/>
          <w:numId w:val="0"/>
        </w:numPr>
        <w:ind w:leftChars="171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C9B4FAA">
      <w:pPr>
        <w:tabs>
          <w:tab w:val="left" w:pos="1080"/>
        </w:tabs>
        <w:jc w:val="both"/>
      </w:pPr>
    </w:p>
    <w:p w14:paraId="429A2DB5">
      <w:pPr>
        <w:jc w:val="both"/>
      </w:pPr>
    </w:p>
    <w:p w14:paraId="2BDA34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Артинского городского округа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sz w:val="28"/>
          <w:szCs w:val="28"/>
          <w:lang w:val="ru-RU"/>
        </w:rPr>
        <w:t>.А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Константинов</w:t>
      </w:r>
    </w:p>
    <w:p w14:paraId="537D5860">
      <w:pPr>
        <w:jc w:val="both"/>
        <w:rPr>
          <w:rFonts w:ascii="Times New Roman" w:hAnsi="Times New Roman"/>
          <w:sz w:val="28"/>
          <w:szCs w:val="28"/>
        </w:rPr>
      </w:pPr>
    </w:p>
    <w:p w14:paraId="475AA975">
      <w:pPr>
        <w:jc w:val="both"/>
        <w:rPr>
          <w:rFonts w:ascii="Times New Roman" w:hAnsi="Times New Roman"/>
          <w:sz w:val="28"/>
          <w:szCs w:val="28"/>
        </w:rPr>
      </w:pPr>
    </w:p>
    <w:p w14:paraId="7BB6BE04">
      <w:pPr>
        <w:jc w:val="center"/>
        <w:rPr>
          <w:rFonts w:hint="default" w:ascii="Times New Roman" w:hAnsi="Times New Roman" w:cs="Times New Roman"/>
          <w:b/>
          <w:lang w:val="ru-RU"/>
        </w:rPr>
      </w:pPr>
    </w:p>
    <w:p w14:paraId="3817E0E4">
      <w:pPr>
        <w:jc w:val="center"/>
        <w:rPr>
          <w:rFonts w:hint="default" w:ascii="Times New Roman" w:hAnsi="Times New Roman" w:cs="Times New Roman"/>
          <w:b/>
          <w:lang w:val="ru-RU"/>
        </w:rPr>
      </w:pPr>
    </w:p>
    <w:p w14:paraId="7919D508">
      <w:pPr>
        <w:jc w:val="center"/>
        <w:rPr>
          <w:rFonts w:hint="default" w:ascii="Times New Roman" w:hAnsi="Times New Roman" w:cs="Times New Roman"/>
          <w:b/>
          <w:lang w:val="ru-RU"/>
        </w:rPr>
      </w:pPr>
    </w:p>
    <w:p w14:paraId="1202A482">
      <w:pPr>
        <w:jc w:val="center"/>
        <w:rPr>
          <w:rFonts w:hint="default" w:ascii="Times New Roman" w:hAnsi="Times New Roman" w:cs="Times New Roman"/>
          <w:b/>
          <w:lang w:val="ru-RU"/>
        </w:rPr>
      </w:pPr>
    </w:p>
    <w:p w14:paraId="33860AA0">
      <w:pPr>
        <w:jc w:val="center"/>
        <w:rPr>
          <w:rFonts w:hint="default" w:ascii="Times New Roman" w:hAnsi="Times New Roman" w:cs="Times New Roman"/>
          <w:b/>
          <w:lang w:val="ru-RU"/>
        </w:rPr>
      </w:pPr>
    </w:p>
    <w:p w14:paraId="61EA2A10">
      <w:pPr>
        <w:jc w:val="center"/>
        <w:rPr>
          <w:rFonts w:hint="default" w:ascii="Times New Roman" w:hAnsi="Times New Roman" w:cs="Times New Roman"/>
          <w:b/>
          <w:lang w:val="ru-RU"/>
        </w:rPr>
      </w:pPr>
    </w:p>
    <w:p w14:paraId="6814081D">
      <w:pPr>
        <w:jc w:val="center"/>
        <w:rPr>
          <w:rFonts w:hint="default" w:ascii="Times New Roman" w:hAnsi="Times New Roman" w:cs="Times New Roman"/>
          <w:b/>
          <w:lang w:val="ru-RU"/>
        </w:rPr>
      </w:pPr>
    </w:p>
    <w:p w14:paraId="174CFA48">
      <w:pPr>
        <w:jc w:val="center"/>
        <w:rPr>
          <w:rFonts w:hint="default" w:ascii="Times New Roman" w:hAnsi="Times New Roman" w:cs="Times New Roman"/>
          <w:b/>
          <w:lang w:val="ru-RU"/>
        </w:rPr>
      </w:pPr>
    </w:p>
    <w:p w14:paraId="65189834">
      <w:pPr>
        <w:jc w:val="center"/>
        <w:rPr>
          <w:rFonts w:hint="default" w:ascii="Times New Roman" w:hAnsi="Times New Roman" w:cs="Times New Roman"/>
          <w:b/>
          <w:lang w:val="ru-RU"/>
        </w:rPr>
      </w:pPr>
    </w:p>
    <w:p w14:paraId="11D25D19">
      <w:pPr>
        <w:jc w:val="center"/>
        <w:rPr>
          <w:rFonts w:hint="default" w:ascii="Times New Roman" w:hAnsi="Times New Roman" w:cs="Times New Roman"/>
          <w:b/>
          <w:lang w:val="ru-RU"/>
        </w:rPr>
      </w:pPr>
    </w:p>
    <w:p w14:paraId="74506662">
      <w:pPr>
        <w:jc w:val="center"/>
        <w:rPr>
          <w:rFonts w:hint="default" w:ascii="Times New Roman" w:hAnsi="Times New Roman" w:cs="Times New Roman"/>
          <w:b/>
          <w:lang w:val="ru-RU"/>
        </w:rPr>
      </w:pPr>
    </w:p>
    <w:p w14:paraId="05469949">
      <w:pPr>
        <w:jc w:val="center"/>
        <w:rPr>
          <w:rFonts w:hint="default" w:ascii="Times New Roman" w:hAnsi="Times New Roman" w:cs="Times New Roman"/>
          <w:b/>
          <w:lang w:val="ru-RU"/>
        </w:rPr>
      </w:pPr>
    </w:p>
    <w:p w14:paraId="6DC31684">
      <w:pPr>
        <w:jc w:val="center"/>
        <w:rPr>
          <w:rFonts w:hint="default" w:ascii="Times New Roman" w:hAnsi="Times New Roman" w:cs="Times New Roman"/>
          <w:b/>
          <w:lang w:val="ru-RU"/>
        </w:rPr>
      </w:pPr>
    </w:p>
    <w:p w14:paraId="27DE84F6">
      <w:pPr>
        <w:pStyle w:val="13"/>
        <w:jc w:val="both"/>
      </w:pPr>
      <w:bookmarkStart w:id="1" w:name="_GoBack"/>
      <w:bookmarkEnd w:id="1"/>
    </w:p>
    <w:sectPr>
      <w:pgSz w:w="11906" w:h="16838"/>
      <w:pgMar w:top="854" w:right="699" w:bottom="846" w:left="140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none"/>
      <w:pStyle w:val="2"/>
      <w:suff w:val="nothing"/>
      <w:lvlText w:val="%1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%2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%3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%4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%5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%6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%7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%8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1">
    <w:nsid w:val="0AA3795F"/>
    <w:multiLevelType w:val="multilevel"/>
    <w:tmpl w:val="0AA3795F"/>
    <w:lvl w:ilvl="0" w:tentative="0">
      <w:start w:val="1"/>
      <w:numFmt w:val="decimal"/>
      <w:suff w:val="space"/>
      <w:lvlText w:val="%1."/>
      <w:lvlJc w:val="left"/>
      <w:pPr>
        <w:ind w:left="49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49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49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49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49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49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49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49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490" w:leftChars="0" w:firstLine="0" w:firstLineChars="0"/>
      </w:pPr>
      <w:rPr>
        <w:rFonts w:hint="default"/>
      </w:rPr>
    </w:lvl>
  </w:abstractNum>
  <w:abstractNum w:abstractNumId="2">
    <w:nsid w:val="1F79267D"/>
    <w:multiLevelType w:val="singleLevel"/>
    <w:tmpl w:val="1F79267D"/>
    <w:lvl w:ilvl="0" w:tentative="0">
      <w:start w:val="1"/>
      <w:numFmt w:val="decimal"/>
      <w:suff w:val="space"/>
      <w:lvlText w:val="%1."/>
      <w:lvlJc w:val="left"/>
      <w:pPr>
        <w:ind w:left="66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9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DB4649"/>
    <w:rsid w:val="00306D5D"/>
    <w:rsid w:val="003575E7"/>
    <w:rsid w:val="008C3CB1"/>
    <w:rsid w:val="00C60568"/>
    <w:rsid w:val="00DB4649"/>
    <w:rsid w:val="00ED31CC"/>
    <w:rsid w:val="017C2ABF"/>
    <w:rsid w:val="02257C5D"/>
    <w:rsid w:val="04A946E7"/>
    <w:rsid w:val="098B3AAF"/>
    <w:rsid w:val="0BA01BBC"/>
    <w:rsid w:val="0C600ABF"/>
    <w:rsid w:val="108A5F33"/>
    <w:rsid w:val="15D55268"/>
    <w:rsid w:val="16447E2B"/>
    <w:rsid w:val="180C426C"/>
    <w:rsid w:val="183B6789"/>
    <w:rsid w:val="18E33C94"/>
    <w:rsid w:val="207D47DA"/>
    <w:rsid w:val="213738C9"/>
    <w:rsid w:val="238A45F6"/>
    <w:rsid w:val="26A966B9"/>
    <w:rsid w:val="290276B2"/>
    <w:rsid w:val="29560610"/>
    <w:rsid w:val="2AA74943"/>
    <w:rsid w:val="2BDE4CC7"/>
    <w:rsid w:val="2F3502F3"/>
    <w:rsid w:val="2F717B3B"/>
    <w:rsid w:val="326A5BCD"/>
    <w:rsid w:val="364C0EFB"/>
    <w:rsid w:val="39137DEB"/>
    <w:rsid w:val="3A143741"/>
    <w:rsid w:val="3A524858"/>
    <w:rsid w:val="3E6D2674"/>
    <w:rsid w:val="3EB958F2"/>
    <w:rsid w:val="3FC43A91"/>
    <w:rsid w:val="40C275F6"/>
    <w:rsid w:val="4148070D"/>
    <w:rsid w:val="45507134"/>
    <w:rsid w:val="49E51AC3"/>
    <w:rsid w:val="4B705044"/>
    <w:rsid w:val="4CE04794"/>
    <w:rsid w:val="4EB561F0"/>
    <w:rsid w:val="506B1A11"/>
    <w:rsid w:val="52CA05EC"/>
    <w:rsid w:val="56281D5E"/>
    <w:rsid w:val="57171972"/>
    <w:rsid w:val="578A40BB"/>
    <w:rsid w:val="58835515"/>
    <w:rsid w:val="5A2D3BC5"/>
    <w:rsid w:val="5AA526E8"/>
    <w:rsid w:val="5E9844ED"/>
    <w:rsid w:val="629E3EC5"/>
    <w:rsid w:val="650416E0"/>
    <w:rsid w:val="690D6E4C"/>
    <w:rsid w:val="6A647F9B"/>
    <w:rsid w:val="6D323B1B"/>
    <w:rsid w:val="6E4C2C26"/>
    <w:rsid w:val="70DF1F39"/>
    <w:rsid w:val="7357343E"/>
    <w:rsid w:val="742F1FC5"/>
    <w:rsid w:val="74F41786"/>
    <w:rsid w:val="75304351"/>
    <w:rsid w:val="75DC3FD1"/>
    <w:rsid w:val="797C1404"/>
    <w:rsid w:val="7B8A0405"/>
    <w:rsid w:val="7E7241A2"/>
    <w:rsid w:val="7EA6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autoRedefine/>
    <w:qFormat/>
    <w:uiPriority w:val="0"/>
    <w:pPr>
      <w:suppressAutoHyphens/>
      <w:overflowPunct w:val="0"/>
    </w:pPr>
    <w:rPr>
      <w:rFonts w:ascii="Liberation Serif" w:hAnsi="Liberation Serif" w:eastAsia="NSimSun" w:cs="Lucida Sans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autoRedefine/>
    <w:qFormat/>
    <w:uiPriority w:val="0"/>
    <w:pPr>
      <w:keepNext/>
      <w:numPr>
        <w:ilvl w:val="0"/>
        <w:numId w:val="1"/>
      </w:numPr>
      <w:outlineLvl w:val="0"/>
    </w:p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autoRedefine/>
    <w:qFormat/>
    <w:uiPriority w:val="0"/>
    <w:rPr>
      <w:color w:val="954F72"/>
      <w:u w:val="single"/>
    </w:rPr>
  </w:style>
  <w:style w:type="character" w:styleId="6">
    <w:name w:val="Hyperlink"/>
    <w:autoRedefine/>
    <w:qFormat/>
    <w:uiPriority w:val="0"/>
    <w:rPr>
      <w:color w:val="000080"/>
      <w:u w:val="single"/>
      <w:lang w:val="zh-CN" w:bidi="zh-CN"/>
    </w:rPr>
  </w:style>
  <w:style w:type="paragraph" w:styleId="7">
    <w:name w:val="Balloon Text"/>
    <w:basedOn w:val="1"/>
    <w:link w:val="18"/>
    <w:autoRedefine/>
    <w:qFormat/>
    <w:uiPriority w:val="0"/>
    <w:rPr>
      <w:rFonts w:ascii="Tahoma" w:hAnsi="Tahoma" w:cs="Mangal"/>
      <w:sz w:val="16"/>
      <w:szCs w:val="14"/>
    </w:rPr>
  </w:style>
  <w:style w:type="paragraph" w:styleId="8">
    <w:name w:val="caption"/>
    <w:basedOn w:val="1"/>
    <w:next w:val="1"/>
    <w:autoRedefine/>
    <w:qFormat/>
    <w:uiPriority w:val="0"/>
    <w:pPr>
      <w:suppressLineNumbers/>
      <w:spacing w:before="120" w:after="120"/>
    </w:pPr>
    <w:rPr>
      <w:i/>
      <w:iCs/>
    </w:rPr>
  </w:style>
  <w:style w:type="paragraph" w:styleId="9">
    <w:name w:val="Body Text"/>
    <w:basedOn w:val="1"/>
    <w:autoRedefine/>
    <w:qFormat/>
    <w:uiPriority w:val="0"/>
    <w:pPr>
      <w:spacing w:after="140" w:line="276" w:lineRule="auto"/>
    </w:pPr>
  </w:style>
  <w:style w:type="paragraph" w:styleId="10">
    <w:name w:val="List"/>
    <w:basedOn w:val="9"/>
    <w:autoRedefine/>
    <w:qFormat/>
    <w:uiPriority w:val="0"/>
  </w:style>
  <w:style w:type="paragraph" w:customStyle="1" w:styleId="11">
    <w:name w:val="Заголовок"/>
    <w:basedOn w:val="1"/>
    <w:next w:val="9"/>
    <w:autoRedefine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12">
    <w:name w:val="Указатель1"/>
    <w:basedOn w:val="1"/>
    <w:autoRedefine/>
    <w:qFormat/>
    <w:uiPriority w:val="0"/>
    <w:pPr>
      <w:suppressLineNumbers/>
    </w:pPr>
    <w:rPr>
      <w:lang w:val="zh-CN" w:bidi="zh-CN"/>
    </w:rPr>
  </w:style>
  <w:style w:type="paragraph" w:customStyle="1" w:styleId="13">
    <w:name w:val="ConsPlusCell"/>
    <w:autoRedefine/>
    <w:qFormat/>
    <w:uiPriority w:val="0"/>
    <w:pPr>
      <w:widowControl w:val="0"/>
      <w:suppressAutoHyphens/>
    </w:pPr>
    <w:rPr>
      <w:rFonts w:ascii="Arial" w:hAnsi="Arial" w:eastAsia="Times New Roman" w:cs="Arial"/>
      <w:kern w:val="2"/>
      <w:lang w:val="ru-RU" w:eastAsia="zh-CN" w:bidi="ar-SA"/>
    </w:rPr>
  </w:style>
  <w:style w:type="paragraph" w:customStyle="1" w:styleId="14">
    <w:name w:val="Содержимое таблицы"/>
    <w:basedOn w:val="1"/>
    <w:autoRedefine/>
    <w:qFormat/>
    <w:uiPriority w:val="0"/>
    <w:pPr>
      <w:widowControl w:val="0"/>
      <w:suppressLineNumbers/>
    </w:pPr>
  </w:style>
  <w:style w:type="paragraph" w:customStyle="1" w:styleId="15">
    <w:name w:val="ConsPlusNormal"/>
    <w:autoRedefine/>
    <w:qFormat/>
    <w:uiPriority w:val="0"/>
    <w:pPr>
      <w:widowControl w:val="0"/>
      <w:suppressAutoHyphens/>
      <w:overflowPunct w:val="0"/>
      <w:ind w:firstLine="720"/>
    </w:pPr>
    <w:rPr>
      <w:rFonts w:ascii="Arial" w:hAnsi="Arial" w:eastAsia="Times New Roman" w:cs="Arial"/>
      <w:kern w:val="2"/>
      <w:lang w:val="ru-RU" w:eastAsia="zh-CN" w:bidi="ar-SA"/>
    </w:rPr>
  </w:style>
  <w:style w:type="paragraph" w:customStyle="1" w:styleId="16">
    <w:name w:val="Абзац списка1"/>
    <w:basedOn w:val="1"/>
    <w:autoRedefine/>
    <w:qFormat/>
    <w:uiPriority w:val="0"/>
    <w:pPr>
      <w:overflowPunct/>
      <w:spacing w:after="200" w:line="276" w:lineRule="auto"/>
      <w:ind w:left="720"/>
      <w:contextualSpacing/>
    </w:pPr>
    <w:rPr>
      <w:rFonts w:ascii="Calibri" w:hAnsi="Calibri" w:eastAsia="Calibri" w:cs="Calibri"/>
      <w:sz w:val="22"/>
      <w:szCs w:val="22"/>
    </w:rPr>
  </w:style>
  <w:style w:type="paragraph" w:customStyle="1" w:styleId="17">
    <w:name w:val="Заголовок таблицы"/>
    <w:basedOn w:val="14"/>
    <w:autoRedefine/>
    <w:qFormat/>
    <w:uiPriority w:val="0"/>
    <w:pPr>
      <w:jc w:val="center"/>
    </w:pPr>
    <w:rPr>
      <w:b/>
      <w:bCs/>
    </w:rPr>
  </w:style>
  <w:style w:type="character" w:customStyle="1" w:styleId="18">
    <w:name w:val="Текст выноски Знак"/>
    <w:basedOn w:val="3"/>
    <w:link w:val="7"/>
    <w:autoRedefine/>
    <w:qFormat/>
    <w:uiPriority w:val="0"/>
    <w:rPr>
      <w:rFonts w:ascii="Tahoma" w:hAnsi="Tahoma" w:eastAsia="NSimSun" w:cs="Mangal"/>
      <w:kern w:val="2"/>
      <w:sz w:val="16"/>
      <w:szCs w:val="14"/>
      <w:lang w:eastAsia="zh-CN" w:bidi="hi-IN"/>
    </w:rPr>
  </w:style>
  <w:style w:type="paragraph" w:customStyle="1" w:styleId="19">
    <w:name w:val="Абзац списка"/>
    <w:basedOn w:val="1"/>
    <w:autoRedefine/>
    <w:qFormat/>
    <w:uiPriority w:val="0"/>
    <w:pPr>
      <w:widowControl/>
      <w:overflowPunct/>
      <w:spacing w:before="0" w:after="200" w:line="276" w:lineRule="auto"/>
      <w:ind w:left="720" w:right="0" w:firstLine="0"/>
      <w:contextualSpacing/>
      <w:textAlignment w:val="auto"/>
    </w:pPr>
    <w:rPr>
      <w:rFonts w:ascii="Calibri" w:hAnsi="Calibri" w:eastAsia="Calibri" w:cs="Calibri"/>
      <w:sz w:val="22"/>
      <w:szCs w:val="22"/>
    </w:rPr>
  </w:style>
  <w:style w:type="character" w:customStyle="1" w:styleId="20">
    <w:name w:val="font31"/>
    <w:autoRedefine/>
    <w:qFormat/>
    <w:uiPriority w:val="0"/>
    <w:rPr>
      <w:rFonts w:hint="default" w:ascii="Calibri" w:hAnsi="Calibri" w:cs="Calibri"/>
      <w:color w:val="000000"/>
      <w:u w:val="none"/>
    </w:rPr>
  </w:style>
  <w:style w:type="character" w:customStyle="1" w:styleId="21">
    <w:name w:val="font11"/>
    <w:autoRedefine/>
    <w:qFormat/>
    <w:uiPriority w:val="0"/>
    <w:rPr>
      <w:rFonts w:hint="default" w:ascii="Calibri" w:hAnsi="Calibri" w:cs="Calibri"/>
      <w:i/>
      <w:iCs/>
      <w:color w:val="0000FF"/>
      <w:u w:val="none"/>
    </w:rPr>
  </w:style>
  <w:style w:type="character" w:customStyle="1" w:styleId="22">
    <w:name w:val="font21"/>
    <w:autoRedefine/>
    <w:qFormat/>
    <w:uiPriority w:val="0"/>
    <w:rPr>
      <w:rFonts w:hint="default" w:ascii="Calibri" w:hAnsi="Calibri" w:cs="Calibri"/>
      <w:i/>
      <w:iCs/>
      <w:color w:val="0000FF"/>
      <w:u w:val="none"/>
    </w:rPr>
  </w:style>
  <w:style w:type="character" w:customStyle="1" w:styleId="23">
    <w:name w:val="font71"/>
    <w:autoRedefine/>
    <w:qFormat/>
    <w:uiPriority w:val="0"/>
    <w:rPr>
      <w:rFonts w:hint="default" w:ascii="Calibri" w:hAnsi="Calibri" w:cs="Calibri"/>
      <w:i/>
      <w:iCs/>
      <w:color w:val="8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677</Words>
  <Characters>3864</Characters>
  <Lines>32</Lines>
  <Paragraphs>9</Paragraphs>
  <TotalTime>12</TotalTime>
  <ScaleCrop>false</ScaleCrop>
  <LinksUpToDate>false</LinksUpToDate>
  <CharactersWithSpaces>4532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2023-05-10T04:10:00Z</dcterms:created>
  <dc:creator>User</dc:creator>
  <cp:lastModifiedBy>WPS_1707910300</cp:lastModifiedBy>
  <cp:lastPrinted>2024-09-03T07:50:00Z</cp:lastPrinted>
  <dcterms:modified xsi:type="dcterms:W3CDTF">2024-09-09T10:14:31Z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F8B2D387974647E285961A900A212322</vt:lpwstr>
  </property>
</Properties>
</file>